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B2" w:rsidRDefault="00D016B2" w:rsidP="00D016B2">
      <w:pPr>
        <w:pStyle w:val="Overskrift1"/>
        <w:shd w:val="clear" w:color="auto" w:fill="C000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ddybende beskrivelser af specialiseret supervision af plejefamilier/anbringelsessteder</w:t>
      </w:r>
    </w:p>
    <w:p w:rsidR="00D016B2" w:rsidRDefault="00D016B2" w:rsidP="00D016B2">
      <w:pPr>
        <w:rPr>
          <w:rFonts w:ascii="Verdana" w:hAnsi="Verdana"/>
          <w:sz w:val="18"/>
          <w:szCs w:val="18"/>
        </w:rPr>
      </w:pPr>
    </w:p>
    <w:p w:rsidR="00D016B2" w:rsidRDefault="00D016B2" w:rsidP="00D016B2">
      <w:pPr>
        <w:spacing w:before="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Målgruppen for den individuelle supervision er plejefamilier og anbringelsessteder, der har børn anbragt, som er </w:t>
      </w:r>
      <w:r>
        <w:rPr>
          <w:rFonts w:ascii="Verdana" w:hAnsi="Verdana"/>
          <w:sz w:val="18"/>
          <w:szCs w:val="18"/>
        </w:rPr>
        <w:t>i alderen 0-18 år og som har været udsat for vold og/eller seksuelle overgreb, samt har været udredt i Børnehus Syd, som led i kommunens børnefaglige § 50 undersøgelse.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D016B2" w:rsidRDefault="00D016B2" w:rsidP="00D016B2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Den specialiserede supervisionen, som Børnehus </w:t>
      </w:r>
      <w:r>
        <w:rPr>
          <w:rFonts w:ascii="Verdana" w:hAnsi="Verdana"/>
          <w:sz w:val="18"/>
          <w:szCs w:val="18"/>
        </w:rPr>
        <w:t>Syd tilbyder, skal ses som et supplement til den øvrige supervision plejeforældrene og anbringelsesstedet får, idet supervisionen fra Børnehus Syd har sit afsæt i den specialviden, der knytter sig til o</w:t>
      </w:r>
      <w:bookmarkStart w:id="0" w:name="_GoBack"/>
      <w:bookmarkEnd w:id="0"/>
      <w:r>
        <w:rPr>
          <w:rFonts w:ascii="Verdana" w:hAnsi="Verdana"/>
          <w:sz w:val="18"/>
          <w:szCs w:val="18"/>
        </w:rPr>
        <w:t>vergrebet barnet har været udsat for, og barnets reaktioner og adfærd i relation til overgrebet.</w:t>
      </w:r>
    </w:p>
    <w:p w:rsidR="00D016B2" w:rsidRDefault="00D016B2" w:rsidP="00D016B2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Børn, der har været udsat for voldelige og/eller seksuelle overgreb kan have helt særlige vanskeligheder og udfordringer i deres udvikling, afledt af de overgreb og mulige vanskelige opvækstbetingelser de har haft. Der kan være tale om børn der er belastet/traumatiseret af tidligere oplevelser med vold og/eller seksuelle overgreb, og børn med særlige vanskeligheder omkring tilknytning. Supervisionen kan bidrage til og understøtte forståelsen af børn med disse særlige livsomstændigheder og behov. Ved at styrke plejeforældrene i forhold til denne særlige viden omkring barnet, styrker man også barnet.</w:t>
      </w:r>
    </w:p>
    <w:p w:rsidR="00D016B2" w:rsidRDefault="00D016B2" w:rsidP="00D016B2">
      <w:pPr>
        <w:spacing w:line="240" w:lineRule="auto"/>
        <w:rPr>
          <w:rFonts w:ascii="Verdana" w:eastAsia="Times New Roman" w:hAnsi="Verdana" w:cs="Times New Roman"/>
          <w:iCs/>
          <w:color w:val="333333"/>
          <w:sz w:val="18"/>
          <w:szCs w:val="18"/>
          <w:u w:val="single"/>
          <w:lang w:eastAsia="da-DK"/>
        </w:rPr>
      </w:pPr>
    </w:p>
    <w:p w:rsidR="00D016B2" w:rsidRDefault="00D016B2" w:rsidP="00D016B2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da-DK"/>
        </w:rPr>
      </w:pPr>
      <w:r>
        <w:rPr>
          <w:rFonts w:ascii="Verdana" w:eastAsia="Times New Roman" w:hAnsi="Verdana" w:cs="Times New Roman"/>
          <w:iCs/>
          <w:color w:val="333333"/>
          <w:sz w:val="18"/>
          <w:szCs w:val="18"/>
          <w:u w:val="single"/>
          <w:lang w:eastAsia="da-DK"/>
        </w:rPr>
        <w:t xml:space="preserve">Supervisionen kan målrettes typiske temaer som: </w:t>
      </w:r>
    </w:p>
    <w:p w:rsidR="00D016B2" w:rsidRDefault="00D016B2" w:rsidP="00D016B2">
      <w:pPr>
        <w:numPr>
          <w:ilvl w:val="0"/>
          <w:numId w:val="1"/>
        </w:numPr>
        <w:spacing w:before="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At styrke forståelsen af barnets særlige behov og udviklingsmæssige udfordringer.</w:t>
      </w:r>
    </w:p>
    <w:p w:rsidR="00D016B2" w:rsidRDefault="00D016B2" w:rsidP="00D016B2">
      <w:pPr>
        <w:numPr>
          <w:ilvl w:val="0"/>
          <w:numId w:val="1"/>
        </w:numPr>
        <w:spacing w:before="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At styrke plejeforældrene i forhold til de særlige udfordringer de giver udtryk for at stå med i forhold til barnet.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76" w:lineRule="auto"/>
        <w:rPr>
          <w:rFonts w:ascii="Verdana" w:hAnsi="Verdana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At styrke plejeforældrene i forhold til at imødekomme barnets særlige behov bedst muligt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Fastholde vanskelige plejeforløb - undgå sammenbrud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Hjælpe plejefamilien til at kunne rumme barnet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Stabilisering af barnet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Stabilisering af plejefamilien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Tænke sikkerhedsperspektivet ind, p</w:t>
      </w:r>
      <w:r>
        <w:rPr>
          <w:rFonts w:ascii="Verdana" w:eastAsia="Times New Roman" w:hAnsi="Verdana" w:cs="Arial"/>
          <w:color w:val="333333"/>
          <w:sz w:val="18"/>
          <w:szCs w:val="18"/>
          <w:lang w:eastAsia="da-DK"/>
        </w:rPr>
        <w:t>roblematikker vedrørende risikovurdering og forebyggelse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Plejefamilien kan mentalisere barnet – hensigter, følelser og tanker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Tilfører plejefamilien viden og beroligelse v. akutte anbragte børn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Styrke helende relationer – tilføre trygge relationer mellem plejefamilien og barnet</w:t>
      </w:r>
    </w:p>
    <w:p w:rsidR="00D016B2" w:rsidRDefault="00D016B2" w:rsidP="00D016B2">
      <w:pPr>
        <w:pStyle w:val="Listeafsnit"/>
        <w:numPr>
          <w:ilvl w:val="0"/>
          <w:numId w:val="1"/>
        </w:numPr>
        <w:spacing w:before="0"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Styrke relationen i en svær tid</w:t>
      </w:r>
    </w:p>
    <w:p w:rsidR="00D016B2" w:rsidRDefault="00D016B2" w:rsidP="00D016B2">
      <w:pPr>
        <w:pStyle w:val="Listeafsnit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eastAsia="da-DK"/>
        </w:rPr>
      </w:pPr>
      <w:r>
        <w:rPr>
          <w:rFonts w:ascii="Verdana" w:hAnsi="Verdana"/>
          <w:sz w:val="18"/>
          <w:szCs w:val="18"/>
        </w:rPr>
        <w:t xml:space="preserve">Fokus på affektregulering i adfærden, støtte til at skabe ro i nervesystemet, kontakten og relationen. </w:t>
      </w:r>
    </w:p>
    <w:p w:rsidR="00D016B2" w:rsidRDefault="00D016B2" w:rsidP="00D016B2">
      <w:pPr>
        <w:pStyle w:val="Listeafsnit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da-DK"/>
        </w:rPr>
        <w:t>Værktøjer til at forebygge fremtidig evt. seksualiserende adfærd.</w:t>
      </w:r>
    </w:p>
    <w:p w:rsidR="00D016B2" w:rsidRDefault="00D016B2" w:rsidP="00D016B2">
      <w:pPr>
        <w:pStyle w:val="Listeafsnit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da-DK"/>
        </w:rPr>
        <w:t>Følelsesmæssige dilemmaer mellem anbragte børn og egne børn.</w:t>
      </w:r>
    </w:p>
    <w:p w:rsidR="00D016B2" w:rsidRDefault="00D016B2" w:rsidP="00D016B2">
      <w:pPr>
        <w:pStyle w:val="Listeafsnit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da-DK"/>
        </w:rPr>
        <w:t>Følelsesmæssige dilemmaer mellem barn og plejeforældre ved barnets grænseoverskridende adfærd, afvikling i stedet for afvisning</w:t>
      </w:r>
    </w:p>
    <w:p w:rsidR="00D016B2" w:rsidRDefault="00D016B2" w:rsidP="00D016B2">
      <w:pPr>
        <w:pStyle w:val="Listeafsnit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da-DK"/>
        </w:rPr>
        <w:t>Håndtering af kriser, reaktioner og symptomer i forbindelse med overgrebet.</w:t>
      </w:r>
    </w:p>
    <w:p w:rsidR="00D016B2" w:rsidRDefault="00D016B2" w:rsidP="00D016B2">
      <w:pPr>
        <w:pStyle w:val="Listeafsnit"/>
        <w:numPr>
          <w:ilvl w:val="0"/>
          <w:numId w:val="3"/>
        </w:numPr>
        <w:spacing w:before="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At drage omsorg for plejefamilien som helhed, og dermed også for plejefamiliens øvrige børn.</w:t>
      </w:r>
    </w:p>
    <w:p w:rsidR="00D016B2" w:rsidRDefault="00D016B2" w:rsidP="00D016B2">
      <w:pPr>
        <w:pStyle w:val="Listeafsnit"/>
        <w:numPr>
          <w:ilvl w:val="0"/>
          <w:numId w:val="3"/>
        </w:numPr>
        <w:spacing w:before="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a-DK"/>
        </w:rPr>
        <w:t>Øge glæden ved og oplevelsen af meningsfuldhed i arbejdet</w:t>
      </w:r>
      <w:r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a-DK"/>
        </w:rPr>
        <w:t> </w:t>
      </w:r>
    </w:p>
    <w:p w:rsidR="00D016B2" w:rsidRDefault="00D016B2" w:rsidP="00D016B2">
      <w:pPr>
        <w:rPr>
          <w:rFonts w:ascii="Verdana" w:hAnsi="Verdana"/>
          <w:color w:val="7030A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a-DK"/>
        </w:rPr>
        <w:br/>
      </w:r>
    </w:p>
    <w:p w:rsidR="00D016B2" w:rsidRDefault="00D016B2" w:rsidP="00D016B2">
      <w:pPr>
        <w:spacing w:line="276" w:lineRule="auto"/>
        <w:rPr>
          <w:rFonts w:ascii="Verdana" w:hAnsi="Verdana" w:cs="Arial"/>
          <w:b/>
          <w:szCs w:val="20"/>
        </w:rPr>
      </w:pPr>
    </w:p>
    <w:p w:rsidR="00D016B2" w:rsidRDefault="00D016B2" w:rsidP="00D016B2">
      <w:pPr>
        <w:spacing w:line="276" w:lineRule="auto"/>
        <w:rPr>
          <w:rFonts w:ascii="Verdana" w:hAnsi="Verdana" w:cs="Arial"/>
          <w:b/>
          <w:szCs w:val="20"/>
        </w:rPr>
      </w:pPr>
    </w:p>
    <w:p w:rsidR="00D016B2" w:rsidRDefault="00D016B2" w:rsidP="00D016B2">
      <w:pPr>
        <w:spacing w:line="276" w:lineRule="auto"/>
        <w:rPr>
          <w:rFonts w:ascii="Verdana" w:hAnsi="Verdana" w:cs="Arial"/>
          <w:b/>
          <w:szCs w:val="20"/>
        </w:rPr>
      </w:pPr>
    </w:p>
    <w:p w:rsidR="00D016B2" w:rsidRDefault="00D016B2">
      <w:pPr>
        <w:spacing w:before="0" w:line="276" w:lineRule="auto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br w:type="page"/>
      </w:r>
    </w:p>
    <w:p w:rsidR="00D016B2" w:rsidRDefault="00D016B2" w:rsidP="00D016B2">
      <w:pPr>
        <w:spacing w:line="276" w:lineRule="auto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lastRenderedPageBreak/>
        <w:t>L</w:t>
      </w:r>
      <w:r>
        <w:rPr>
          <w:rFonts w:ascii="Verdana" w:hAnsi="Verdana" w:cs="Arial"/>
          <w:b/>
          <w:szCs w:val="20"/>
        </w:rPr>
        <w:t>itteraturliste: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Øvreeide</w:t>
      </w:r>
      <w:proofErr w:type="spellEnd"/>
      <w:r>
        <w:rPr>
          <w:rFonts w:ascii="Verdana" w:hAnsi="Verdana" w:cs="Arial"/>
          <w:sz w:val="18"/>
          <w:szCs w:val="18"/>
        </w:rPr>
        <w:t xml:space="preserve">, H. (2000). </w:t>
      </w:r>
      <w:r>
        <w:rPr>
          <w:rFonts w:ascii="Verdana" w:hAnsi="Verdana" w:cs="Arial"/>
          <w:i/>
          <w:sz w:val="18"/>
          <w:szCs w:val="18"/>
        </w:rPr>
        <w:t xml:space="preserve">At tale med børn. </w:t>
      </w:r>
      <w:r>
        <w:rPr>
          <w:rFonts w:ascii="Verdana" w:hAnsi="Verdana" w:cs="Arial"/>
          <w:sz w:val="18"/>
          <w:szCs w:val="18"/>
        </w:rPr>
        <w:t xml:space="preserve">København: Hans Reitzels Forlag.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Killén</w:t>
      </w:r>
      <w:proofErr w:type="spellEnd"/>
      <w:r>
        <w:rPr>
          <w:rFonts w:ascii="Verdana" w:hAnsi="Verdana" w:cs="Arial"/>
          <w:sz w:val="18"/>
          <w:szCs w:val="18"/>
        </w:rPr>
        <w:t xml:space="preserve">, K. (2000). </w:t>
      </w:r>
      <w:r>
        <w:rPr>
          <w:rFonts w:ascii="Verdana" w:hAnsi="Verdana" w:cs="Arial"/>
          <w:i/>
          <w:sz w:val="18"/>
          <w:szCs w:val="18"/>
        </w:rPr>
        <w:t xml:space="preserve">Omsorgssvigt er alles ansvar. </w:t>
      </w:r>
      <w:r>
        <w:rPr>
          <w:rFonts w:ascii="Verdana" w:hAnsi="Verdana" w:cs="Arial"/>
          <w:sz w:val="18"/>
          <w:szCs w:val="18"/>
        </w:rPr>
        <w:t xml:space="preserve">København: Hans Reitzels Forlag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1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Jakobsen, I. S. (2014). </w:t>
      </w:r>
      <w:r>
        <w:rPr>
          <w:rFonts w:ascii="Verdana" w:hAnsi="Verdana" w:cs="Arial"/>
          <w:i/>
          <w:sz w:val="18"/>
          <w:szCs w:val="18"/>
        </w:rPr>
        <w:t xml:space="preserve">Resiliens processer- begreb, forskning og praksis. </w:t>
      </w:r>
      <w:r>
        <w:rPr>
          <w:rFonts w:ascii="Verdana" w:hAnsi="Verdana" w:cs="Arial"/>
          <w:sz w:val="18"/>
          <w:szCs w:val="18"/>
        </w:rPr>
        <w:t>København: Akademisk forlag.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Struik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, A. (2014): 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Treating Chronically Traumatized Children: Don’t let the sleeping dogs lie. </w:t>
      </w:r>
      <w:r>
        <w:rPr>
          <w:rFonts w:ascii="Verdana" w:hAnsi="Verdana" w:cs="Arial"/>
          <w:sz w:val="18"/>
          <w:szCs w:val="18"/>
          <w:lang w:val="en-US"/>
        </w:rPr>
        <w:t xml:space="preserve">London, New York: </w:t>
      </w:r>
      <w:proofErr w:type="spellStart"/>
      <w:r>
        <w:rPr>
          <w:rFonts w:ascii="Verdana" w:hAnsi="Verdana" w:cs="Arial"/>
          <w:sz w:val="18"/>
          <w:szCs w:val="18"/>
          <w:lang w:val="en-US"/>
        </w:rPr>
        <w:t>Routhledge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.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Zeuthen, K. (2009): Kærlighed og overlevelse: Barneseksualitet og seksuelle traumer. København: Akademisk Forlag.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Freud, S. (1905/1985): Den infantile seksualitet. I: Afhandling om seksualteori. København: Hans Reitzel forlag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Perry, B. &amp; </w:t>
      </w:r>
      <w:proofErr w:type="spellStart"/>
      <w:r>
        <w:rPr>
          <w:rFonts w:ascii="Verdana" w:hAnsi="Verdana" w:cs="Arial"/>
          <w:sz w:val="18"/>
          <w:szCs w:val="18"/>
        </w:rPr>
        <w:t>Szalavitz</w:t>
      </w:r>
      <w:proofErr w:type="spellEnd"/>
      <w:r>
        <w:rPr>
          <w:rFonts w:ascii="Verdana" w:hAnsi="Verdana" w:cs="Arial"/>
          <w:sz w:val="18"/>
          <w:szCs w:val="18"/>
        </w:rPr>
        <w:t xml:space="preserve">, M. (2011). </w:t>
      </w:r>
      <w:r>
        <w:rPr>
          <w:rFonts w:ascii="Verdana" w:hAnsi="Verdana" w:cs="Arial"/>
          <w:i/>
          <w:sz w:val="18"/>
          <w:szCs w:val="18"/>
        </w:rPr>
        <w:t xml:space="preserve">Drengen der voksede op som en hund. </w:t>
      </w:r>
      <w:r>
        <w:rPr>
          <w:rFonts w:ascii="Verdana" w:hAnsi="Verdana" w:cs="Arial"/>
          <w:sz w:val="18"/>
          <w:szCs w:val="18"/>
        </w:rPr>
        <w:t xml:space="preserve">København: Hans Reitzels Forlag.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Hagelquist, J. Ø. (2015) Praksisguiden i mentalisering. København: Hans Reitzels Forlag. 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Goodyear- Brown, P. (Ed) (2012). </w:t>
      </w:r>
      <w:r>
        <w:rPr>
          <w:rFonts w:ascii="Verdana" w:hAnsi="Verdana" w:cs="Arial"/>
          <w:i/>
          <w:sz w:val="18"/>
          <w:szCs w:val="18"/>
          <w:lang w:val="en-US"/>
        </w:rPr>
        <w:t>Handbook of Child Sexual Abuse: identification, Assessment and treatment</w:t>
      </w:r>
      <w:r>
        <w:rPr>
          <w:rFonts w:ascii="Verdana" w:hAnsi="Verdana" w:cs="Arial"/>
          <w:sz w:val="18"/>
          <w:szCs w:val="18"/>
          <w:lang w:val="en-US"/>
        </w:rPr>
        <w:t xml:space="preserve">. New Jersey: Wiley. 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Levine</w:t>
      </w:r>
      <w:proofErr w:type="spellEnd"/>
      <w:r>
        <w:rPr>
          <w:rFonts w:ascii="Verdana" w:hAnsi="Verdana" w:cs="Arial"/>
          <w:sz w:val="18"/>
          <w:szCs w:val="18"/>
        </w:rPr>
        <w:t xml:space="preserve">, P.A (2017). </w:t>
      </w:r>
      <w:r>
        <w:rPr>
          <w:rFonts w:ascii="Verdana" w:hAnsi="Verdana" w:cs="Arial"/>
          <w:i/>
          <w:sz w:val="18"/>
          <w:szCs w:val="18"/>
        </w:rPr>
        <w:t xml:space="preserve">Traume og hukommelse: hjerne og krop i en søgen efter den levende fortid. </w:t>
      </w:r>
      <w:r>
        <w:rPr>
          <w:rFonts w:ascii="Verdana" w:hAnsi="Verdana" w:cs="Arial"/>
          <w:sz w:val="18"/>
          <w:szCs w:val="18"/>
        </w:rPr>
        <w:t>København: Hans Reitzels Forlag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White, M. (2007). </w:t>
      </w:r>
      <w:r>
        <w:rPr>
          <w:rFonts w:ascii="Verdana" w:hAnsi="Verdana" w:cs="Arial"/>
          <w:i/>
          <w:sz w:val="18"/>
          <w:szCs w:val="18"/>
        </w:rPr>
        <w:t xml:space="preserve">Kort over Narrative landskaber. </w:t>
      </w:r>
      <w:r>
        <w:rPr>
          <w:rFonts w:ascii="Verdana" w:hAnsi="Verdana" w:cs="Arial"/>
          <w:sz w:val="18"/>
          <w:szCs w:val="18"/>
        </w:rPr>
        <w:t xml:space="preserve">København: Hans </w:t>
      </w:r>
      <w:proofErr w:type="spellStart"/>
      <w:r>
        <w:rPr>
          <w:rFonts w:ascii="Verdana" w:hAnsi="Verdana" w:cs="Arial"/>
          <w:sz w:val="18"/>
          <w:szCs w:val="18"/>
        </w:rPr>
        <w:t>Reritzels</w:t>
      </w:r>
      <w:proofErr w:type="spellEnd"/>
      <w:r>
        <w:rPr>
          <w:rFonts w:ascii="Verdana" w:hAnsi="Verdana" w:cs="Arial"/>
          <w:sz w:val="18"/>
          <w:szCs w:val="18"/>
        </w:rPr>
        <w:t xml:space="preserve"> Forlag.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296" w:line="276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Denborough</w:t>
      </w:r>
      <w:proofErr w:type="spellEnd"/>
      <w:r>
        <w:rPr>
          <w:rFonts w:ascii="Verdana" w:hAnsi="Verdana" w:cs="Arial"/>
          <w:sz w:val="18"/>
          <w:szCs w:val="18"/>
        </w:rPr>
        <w:t xml:space="preserve">, D. (2008). </w:t>
      </w:r>
      <w:r>
        <w:rPr>
          <w:rFonts w:ascii="Verdana" w:hAnsi="Verdana" w:cs="Arial"/>
          <w:i/>
          <w:sz w:val="18"/>
          <w:szCs w:val="18"/>
        </w:rPr>
        <w:t xml:space="preserve">Traumer- Narrativ behandling af traumatiske oplevelser. </w:t>
      </w:r>
      <w:r>
        <w:rPr>
          <w:rFonts w:ascii="Verdana" w:hAnsi="Verdana" w:cs="Arial"/>
          <w:sz w:val="18"/>
          <w:szCs w:val="18"/>
        </w:rPr>
        <w:t>København: Dansk Psykologisk Forlag</w:t>
      </w:r>
      <w:r>
        <w:rPr>
          <w:rFonts w:ascii="Verdana" w:hAnsi="Verdana"/>
          <w:sz w:val="18"/>
          <w:szCs w:val="18"/>
        </w:rPr>
        <w:t>.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0" w:after="0" w:line="276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Turnell</w:t>
      </w:r>
      <w:proofErr w:type="spellEnd"/>
      <w:r>
        <w:rPr>
          <w:rFonts w:ascii="Verdana" w:hAnsi="Verdana" w:cs="Arial"/>
          <w:sz w:val="18"/>
          <w:szCs w:val="18"/>
        </w:rPr>
        <w:t xml:space="preserve">, A. </w:t>
      </w:r>
      <w:proofErr w:type="spellStart"/>
      <w:r>
        <w:rPr>
          <w:rFonts w:ascii="Verdana" w:hAnsi="Verdana" w:cs="Arial"/>
          <w:sz w:val="18"/>
          <w:szCs w:val="18"/>
        </w:rPr>
        <w:t>Vesterhauge</w:t>
      </w:r>
      <w:proofErr w:type="spellEnd"/>
      <w:r>
        <w:rPr>
          <w:rFonts w:ascii="Verdana" w:hAnsi="Verdana" w:cs="Arial"/>
          <w:sz w:val="18"/>
          <w:szCs w:val="18"/>
        </w:rPr>
        <w:t xml:space="preserve">-Petersen, M. og </w:t>
      </w:r>
      <w:proofErr w:type="spellStart"/>
      <w:r>
        <w:rPr>
          <w:rFonts w:ascii="Verdana" w:hAnsi="Verdana" w:cs="Arial"/>
          <w:sz w:val="18"/>
          <w:szCs w:val="18"/>
        </w:rPr>
        <w:t>Vesterhauge</w:t>
      </w:r>
      <w:proofErr w:type="spellEnd"/>
      <w:r>
        <w:rPr>
          <w:rFonts w:ascii="Verdana" w:hAnsi="Verdana" w:cs="Arial"/>
          <w:sz w:val="18"/>
          <w:szCs w:val="18"/>
        </w:rPr>
        <w:t xml:space="preserve">-Petersen, H. (2013). </w:t>
      </w:r>
      <w:proofErr w:type="spellStart"/>
      <w:r>
        <w:rPr>
          <w:rFonts w:ascii="Verdana" w:hAnsi="Verdana" w:cs="Arial"/>
          <w:i/>
          <w:sz w:val="18"/>
          <w:szCs w:val="18"/>
        </w:rPr>
        <w:t>Signs</w:t>
      </w:r>
      <w:proofErr w:type="spellEnd"/>
      <w:r>
        <w:rPr>
          <w:rFonts w:ascii="Verdana" w:hAnsi="Verdana" w:cs="Arial"/>
          <w:i/>
          <w:sz w:val="18"/>
          <w:szCs w:val="18"/>
        </w:rPr>
        <w:t xml:space="preserve"> of </w:t>
      </w:r>
      <w:proofErr w:type="spellStart"/>
      <w:r>
        <w:rPr>
          <w:rFonts w:ascii="Verdana" w:hAnsi="Verdana" w:cs="Arial"/>
          <w:i/>
          <w:sz w:val="18"/>
          <w:szCs w:val="18"/>
        </w:rPr>
        <w:t>safety</w:t>
      </w:r>
      <w:proofErr w:type="spellEnd"/>
      <w:r>
        <w:rPr>
          <w:rFonts w:ascii="Verdana" w:hAnsi="Verdana" w:cs="Arial"/>
          <w:i/>
          <w:sz w:val="18"/>
          <w:szCs w:val="18"/>
        </w:rPr>
        <w:t xml:space="preserve">: arbejdet med udsatte børn og deres familier. </w:t>
      </w:r>
      <w:r>
        <w:rPr>
          <w:rFonts w:ascii="Verdana" w:hAnsi="Verdana" w:cs="Arial"/>
          <w:sz w:val="18"/>
          <w:szCs w:val="18"/>
        </w:rPr>
        <w:t>København: Hans Reitzels Forlag.</w:t>
      </w:r>
    </w:p>
    <w:p w:rsidR="00D016B2" w:rsidRDefault="00D016B2" w:rsidP="00D016B2">
      <w:pPr>
        <w:pStyle w:val="Listeafsnit"/>
        <w:rPr>
          <w:rFonts w:ascii="Verdana" w:hAnsi="Verdana"/>
          <w:sz w:val="18"/>
          <w:szCs w:val="18"/>
          <w:u w:val="single"/>
          <w:lang w:val="en-US"/>
        </w:rPr>
      </w:pPr>
    </w:p>
    <w:p w:rsidR="00D016B2" w:rsidRDefault="00D016B2" w:rsidP="00D016B2">
      <w:pPr>
        <w:pStyle w:val="Listeafsnit"/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/>
          <w:sz w:val="18"/>
          <w:szCs w:val="18"/>
          <w:u w:val="single"/>
          <w:lang w:val="en-US"/>
        </w:rPr>
        <w:t xml:space="preserve">Reference; 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10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Grethe Bruun - </w:t>
      </w:r>
      <w:hyperlink r:id="rId6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https://psykologgruppen-naestved.dk/grethe-bruun/grethe-bruun</w:t>
        </w:r>
      </w:hyperlink>
    </w:p>
    <w:p w:rsidR="00D016B2" w:rsidRDefault="00D016B2" w:rsidP="00D016B2">
      <w:pPr>
        <w:pStyle w:val="Listeafsnit"/>
        <w:numPr>
          <w:ilvl w:val="0"/>
          <w:numId w:val="4"/>
        </w:numPr>
        <w:spacing w:before="100" w:line="276" w:lineRule="auto"/>
        <w:rPr>
          <w:rFonts w:ascii="Verdana" w:hAnsi="Verdana"/>
          <w:color w:val="7030A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Lennarth </w:t>
      </w:r>
      <w:proofErr w:type="spellStart"/>
      <w:r>
        <w:rPr>
          <w:rFonts w:ascii="Verdana" w:hAnsi="Verdana"/>
          <w:sz w:val="18"/>
          <w:szCs w:val="18"/>
        </w:rPr>
        <w:t>Ollars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color w:val="7030A0"/>
          <w:sz w:val="18"/>
          <w:szCs w:val="18"/>
        </w:rPr>
        <w:t>Enten skal der tilføjes noget her ellers skal navnet slettes</w:t>
      </w:r>
    </w:p>
    <w:p w:rsidR="00D016B2" w:rsidRDefault="00D016B2" w:rsidP="00D016B2">
      <w:pPr>
        <w:pStyle w:val="Listeafsnit"/>
        <w:numPr>
          <w:ilvl w:val="0"/>
          <w:numId w:val="4"/>
        </w:numPr>
        <w:spacing w:before="100" w:line="276" w:lineRule="auto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color w:val="303C48"/>
          <w:sz w:val="18"/>
          <w:szCs w:val="18"/>
          <w:lang w:val="en-US"/>
        </w:rPr>
        <w:t>Benedicte</w:t>
      </w:r>
      <w:proofErr w:type="spellEnd"/>
      <w:r>
        <w:rPr>
          <w:rFonts w:ascii="Verdana" w:hAnsi="Verdana" w:cs="Arial"/>
          <w:color w:val="303C48"/>
          <w:sz w:val="18"/>
          <w:szCs w:val="18"/>
          <w:lang w:val="en-US"/>
        </w:rPr>
        <w:t xml:space="preserve"> Schilling</w:t>
      </w:r>
      <w:r>
        <w:rPr>
          <w:rFonts w:ascii="Verdana" w:hAnsi="Verdana"/>
          <w:sz w:val="18"/>
          <w:szCs w:val="18"/>
          <w:lang w:val="en-US"/>
        </w:rPr>
        <w:t xml:space="preserve">- </w:t>
      </w:r>
      <w:hyperlink r:id="rId7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https://www.schillingcts.com/?lang=da</w:t>
        </w:r>
      </w:hyperlink>
      <w:r>
        <w:rPr>
          <w:rFonts w:ascii="Verdana" w:hAnsi="Verdana" w:cs="Arial"/>
          <w:b/>
          <w:lang w:val="en-US"/>
        </w:rPr>
        <w:t xml:space="preserve"> </w:t>
      </w:r>
    </w:p>
    <w:p w:rsidR="00D016B2" w:rsidRDefault="00D016B2" w:rsidP="00D016B2">
      <w:pPr>
        <w:pStyle w:val="Listeafsnit"/>
        <w:spacing w:before="0" w:after="0"/>
        <w:rPr>
          <w:rFonts w:ascii="Verdana" w:hAnsi="Verdana" w:cs="Arial"/>
          <w:b/>
          <w:sz w:val="18"/>
          <w:szCs w:val="18"/>
          <w:lang w:val="en-US"/>
        </w:rPr>
      </w:pPr>
    </w:p>
    <w:sectPr w:rsidR="00D016B2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0D4"/>
    <w:multiLevelType w:val="hybridMultilevel"/>
    <w:tmpl w:val="CB1A2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49D2"/>
    <w:multiLevelType w:val="hybridMultilevel"/>
    <w:tmpl w:val="301C0D7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3843"/>
    <w:multiLevelType w:val="hybridMultilevel"/>
    <w:tmpl w:val="4724B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2601"/>
    <w:multiLevelType w:val="hybridMultilevel"/>
    <w:tmpl w:val="5BFEA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2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016B2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303"/>
  <w15:chartTrackingRefBased/>
  <w15:docId w15:val="{A3E38D96-D7B9-4C76-9C21-BBB0EC4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6B2"/>
    <w:pPr>
      <w:spacing w:before="120" w:line="264" w:lineRule="auto"/>
    </w:pPr>
    <w:rPr>
      <w:rFonts w:eastAsiaTheme="minorEastAsia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semiHidden/>
    <w:unhideWhenUsed/>
    <w:rsid w:val="00D01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illingcts.com/?lang=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kologgruppen-naestved.dk/grethe-bruun/grethe-bruu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2003-0BBA-4929-B860-CD40491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Nielsen</dc:creator>
  <cp:keywords/>
  <dc:description/>
  <cp:lastModifiedBy>Anne Mette Nielsen</cp:lastModifiedBy>
  <cp:revision>1</cp:revision>
  <dcterms:created xsi:type="dcterms:W3CDTF">2019-03-04T09:10:00Z</dcterms:created>
  <dcterms:modified xsi:type="dcterms:W3CDTF">2019-03-04T09:10:00Z</dcterms:modified>
</cp:coreProperties>
</file>